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-284" w:right="-284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GERÊNCIA DA REDE AMBULATORIAL ESPECIALIZADA – GERAE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DIRETRIZES DE ENCAMINHAMENTO PARA NEFROLOGIA PEDIÁTRICA NA REDE SUS DE BELO HORIZONTE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  <w:rtl w:val="0"/>
        </w:rPr>
        <w:t xml:space="preserve">AUTORES: 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Roberta Gazzi Salum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Fernanda Martins Ribeiro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Luiz Rugero Marcatto do Carmo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Isabel Maria Gomes Soares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Alline Gomes Goncalves Fagundes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Vania Maria Andrade da Rocha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  <w:rtl w:val="0"/>
        </w:rPr>
        <w:t xml:space="preserve">COLABORADORA: 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Paula Grego da Gama Ferreira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Maria Celia Gomes Ventura Oliveira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JULHO/2026</w:t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SUMÁRIO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dt>
      <w:sdtPr>
        <w:id w:val="-1538770514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B">
          <w:pPr>
            <w:widowControl w:val="0"/>
            <w:tabs>
              <w:tab w:val="right" w:leader="none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O</w:t>
          </w:r>
          <w:hyperlink w:anchor="_heading=h.c660c64mbl5u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bjetivo</w:t>
            </w:r>
          </w:hyperlink>
          <w:hyperlink w:anchor="_heading=h.c660c64mbl5u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u w:val="no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widowControl w:val="0"/>
            <w:tabs>
              <w:tab w:val="right" w:leader="none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  <w:rtl w:val="0"/>
            </w:rPr>
            <w:t xml:space="preserve">F</w:t>
          </w:r>
          <w:hyperlink w:anchor="_heading=h.iyz48j1jxlby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luxo</w:t>
            </w:r>
          </w:hyperlink>
          <w:hyperlink w:anchor="_heading=h.iyz48j1jxlby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u w:val="no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widowControl w:val="0"/>
            <w:tabs>
              <w:tab w:val="right" w:leader="none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  <w:rtl w:val="0"/>
            </w:rPr>
            <w:t xml:space="preserve">S</w:t>
          </w:r>
          <w:hyperlink w:anchor="_heading=h.n8epvujp99yl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erviço de urgência</w:t>
            </w:r>
          </w:hyperlink>
          <w:hyperlink w:anchor="_heading=h.n8epvujp99yl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u w:val="none"/>
                <w:rtl w:val="0"/>
              </w:rPr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2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widowControl w:val="0"/>
            <w:tabs>
              <w:tab w:val="right" w:leader="none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  <w:rtl w:val="0"/>
            </w:rPr>
            <w:t xml:space="preserve">T</w:t>
          </w:r>
          <w:hyperlink w:anchor="_heading=h.vopafdj0rm3z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axa de filtração glomerular em pediatria</w:t>
            </w:r>
          </w:hyperlink>
          <w:hyperlink w:anchor="_heading=h.vopafdj0rm3z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u w:val="none"/>
                <w:rtl w:val="0"/>
              </w:rPr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widowControl w:val="0"/>
            <w:tabs>
              <w:tab w:val="right" w:leader="none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  <w:rtl w:val="0"/>
            </w:rPr>
            <w:t xml:space="preserve">I</w:t>
          </w:r>
          <w:hyperlink w:anchor="_heading=h.wen3khu0m9h5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nformações obrigatórias no pedido</w:t>
            </w:r>
          </w:hyperlink>
          <w:hyperlink w:anchor="_heading=h.wen3khu0m9h5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u w:val="none"/>
                <w:rtl w:val="0"/>
              </w:rPr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widowControl w:val="0"/>
            <w:tabs>
              <w:tab w:val="right" w:leader="none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  <w:rtl w:val="0"/>
            </w:rPr>
            <w:t xml:space="preserve">E</w:t>
          </w:r>
          <w:hyperlink w:anchor="_heading=h.iws0oyc2slfl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stratificação de prioridades</w:t>
            </w:r>
          </w:hyperlink>
          <w:hyperlink w:anchor="_heading=h.iws0oyc2slfl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u w:val="none"/>
                <w:rtl w:val="0"/>
              </w:rPr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4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widowControl w:val="0"/>
            <w:tabs>
              <w:tab w:val="right" w:leader="none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  <w:rtl w:val="0"/>
            </w:rPr>
            <w:t xml:space="preserve">E</w:t>
          </w:r>
          <w:hyperlink w:anchor="_heading=h.brbqanym5n5r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ncaminhamento para serviço ambulatorial de nefrologia</w:t>
            </w:r>
          </w:hyperlink>
          <w:hyperlink w:anchor="_heading=h.brbqanym5n5r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u w:val="none"/>
                <w:rtl w:val="0"/>
              </w:rPr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5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w:anchor="_heading=h.6bvqqblrqeyt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Doença renal crônica (drc) ou injúria renal aguda (ira) em recuperação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5</w:t>
          </w:r>
        </w:p>
        <w:p w:rsidR="00000000" w:rsidDel="00000000" w:rsidP="00000000" w:rsidRDefault="00000000" w:rsidRPr="00000000" w14:paraId="00000033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w:anchor="_heading=h.s0yqtjuasy9k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Proteinúria ou glomerulopatia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6</w:t>
          </w:r>
        </w:p>
        <w:p w:rsidR="00000000" w:rsidDel="00000000" w:rsidP="00000000" w:rsidRDefault="00000000" w:rsidRPr="00000000" w14:paraId="00000034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w:anchor="_heading=h.whlvm918af9i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Hidronefrose e doenças obstrutivas mecânicas ou funcionais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6</w:t>
          </w:r>
        </w:p>
        <w:p w:rsidR="00000000" w:rsidDel="00000000" w:rsidP="00000000" w:rsidRDefault="00000000" w:rsidRPr="00000000" w14:paraId="00000035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w:anchor="_heading=h.wnb7dyrccu9p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Distúrbios hidroeletrolíticos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7</w:t>
          </w:r>
        </w:p>
        <w:p w:rsidR="00000000" w:rsidDel="00000000" w:rsidP="00000000" w:rsidRDefault="00000000" w:rsidRPr="00000000" w14:paraId="00000036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w:anchor="_heading=h.pjl2b5conc9q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Hematúria glomerular isolada (sem proteinúria associada) e tfg preservada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8</w:t>
          </w:r>
        </w:p>
        <w:p w:rsidR="00000000" w:rsidDel="00000000" w:rsidP="00000000" w:rsidRDefault="00000000" w:rsidRPr="00000000" w14:paraId="00000037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w:anchor="_heading=h.3736z06jv22b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Cistos renais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8</w:t>
          </w:r>
        </w:p>
        <w:p w:rsidR="00000000" w:rsidDel="00000000" w:rsidP="00000000" w:rsidRDefault="00000000" w:rsidRPr="00000000" w14:paraId="00000038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w:anchor="_heading=h.362nc6x4u512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Hipertensão arterial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9</w:t>
          </w:r>
        </w:p>
        <w:p w:rsidR="00000000" w:rsidDel="00000000" w:rsidP="00000000" w:rsidRDefault="00000000" w:rsidRPr="00000000" w14:paraId="00000039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w:anchor="_heading=h.209fd3wpqobo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 Infecção do trato urinário (itu)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9</w:t>
          </w:r>
        </w:p>
        <w:p w:rsidR="00000000" w:rsidDel="00000000" w:rsidP="00000000" w:rsidRDefault="00000000" w:rsidRPr="00000000" w14:paraId="0000003A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w:anchor="_heading=h.sw0dxglftsdi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 Nefrolitíase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9</w:t>
          </w:r>
        </w:p>
        <w:p w:rsidR="00000000" w:rsidDel="00000000" w:rsidP="00000000" w:rsidRDefault="00000000" w:rsidRPr="00000000" w14:paraId="0000003B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w:anchor="_heading=h.e0na9qlkbhbv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 Doença falciforme com infarto renal ou proteinúria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10</w:t>
          </w:r>
        </w:p>
        <w:p w:rsidR="00000000" w:rsidDel="00000000" w:rsidP="00000000" w:rsidRDefault="00000000" w:rsidRPr="00000000" w14:paraId="0000003C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w:anchor="_heading=h.j13577rolraa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 Rim único (ou um rim displásico multicístico em regressão)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10</w:t>
          </w:r>
        </w:p>
        <w:p w:rsidR="00000000" w:rsidDel="00000000" w:rsidP="00000000" w:rsidRDefault="00000000" w:rsidRPr="00000000" w14:paraId="0000003D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w:anchor="_heading=h.5cibi6rrzknt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esclarecimentos relacionados ao processo regulatório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10</w:t>
          </w:r>
        </w:p>
        <w:p w:rsidR="00000000" w:rsidDel="00000000" w:rsidP="00000000" w:rsidRDefault="00000000" w:rsidRPr="00000000" w14:paraId="0000003E">
          <w:pPr>
            <w:widowControl w:val="0"/>
            <w:tabs>
              <w:tab w:val="right" w:leader="none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E</w:t>
          </w:r>
          <w:hyperlink w:anchor="_heading=h.dbljqkcppm70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stimativa da taxa de filtração glomerular em crianças pela fórmula de schwartz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11</w:t>
          </w:r>
        </w:p>
        <w:p w:rsidR="00000000" w:rsidDel="00000000" w:rsidP="00000000" w:rsidRDefault="00000000" w:rsidRPr="00000000" w14:paraId="0000003F">
          <w:pPr>
            <w:widowControl w:val="0"/>
            <w:tabs>
              <w:tab w:val="right" w:leader="none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A</w:t>
          </w:r>
          <w:hyperlink w:anchor="_heading=h.gapa2rfsgsg7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nexo 1 - tabelas de hipertensão arterial na infância e adolescência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12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u w:val="none"/>
              <w:rtl w:val="0"/>
            </w:rPr>
            <w:t xml:space="preserve">T</w:t>
          </w:r>
          <w:hyperlink w:anchor="_heading=h.kuu23stb9tqj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abela 1</w:t>
            </w:r>
          </w:hyperlink>
          <w:hyperlink w:anchor="_heading=h.kuu23stb9tqj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none"/>
                <w:rtl w:val="0"/>
              </w:rPr>
              <w:t xml:space="preserve"> - Percentis de Pressão arterial Sistêmica para Meninos por Idade e Percentis de Estatura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13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widowControl w:val="0"/>
            <w:tabs>
              <w:tab w:val="right" w:leader="none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color w:val="000000"/>
              <w:sz w:val="24"/>
              <w:szCs w:val="24"/>
              <w:u w:val="no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u w:val="none"/>
              <w:rtl w:val="0"/>
            </w:rPr>
            <w:t xml:space="preserve">T</w:t>
          </w:r>
          <w:hyperlink w:anchor="_heading=h.kdnf2bgbmajk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abela 2</w:t>
            </w:r>
          </w:hyperlink>
          <w:hyperlink w:anchor="_heading=h.kdnf2bgbmajk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none"/>
                <w:rtl w:val="0"/>
              </w:rPr>
              <w:t xml:space="preserve"> - Percentis de Pressão arterial Sistêmica para Meninas por Idade e Percentis de Estatura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14</w:t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42">
      <w:pPr>
        <w:pStyle w:val="Heading1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c660c64mbl5u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</w:t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Orientar a Rede SUS sobre os critérios de encaminhamento para Nefrologia Pediátrica no município de Belo Horizonte (BH). </w:t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Esclarecer e publicizar como é feito o processo regulatório no município.</w:t>
      </w:r>
    </w:p>
    <w:p w:rsidR="00000000" w:rsidDel="00000000" w:rsidP="00000000" w:rsidRDefault="00000000" w:rsidRPr="00000000" w14:paraId="00000045">
      <w:pPr>
        <w:pStyle w:val="Heading1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iyz48j1jxlby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FLUXO</w:t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As solicitações de consultas são inseridas no item de agendamento “CONSULTA EM NEFROLOGIA PEDIÁTRICA” no Solução Integrada de Gestão Hospitalar, Ambulatorial e de Regulação (SIGRAH). Em BH, ocorre regulação de  100 % das solicitações de consultas para Nefrologia Pediátrica encaminhadas, com sua devida priorização e agendamento de consulta presencial ou devolução responsável, com orientações aos solicitantes via SIGRAH.</w:t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Um nefrologista pediátrico, com disponibilidade de 6 horas semanais, avaliará os dados da solicitação e o status de espera.</w:t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n8epvujp99yl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SERVIÇO DE URGÊNCIA 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15" w:tblpY="0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Devem ser encaminhados para os Serviços de Urgência:</w:t>
            </w:r>
          </w:p>
          <w:p w:rsidR="00000000" w:rsidDel="00000000" w:rsidP="00000000" w:rsidRDefault="00000000" w:rsidRPr="00000000" w14:paraId="0000004D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Injúria renal aguda ou doença renal crônica (taxa de filtração glomerular estimada &lt; 30 mL/min/1,73 m2 pela Fórmula de Schwartz) na presença de pelo menos uma das seguintes condições: uremia (atenção a níveis de uréia próximos a 180mg/dL para adolescentes e acima de 120mg/dL para crianças em idade pré escolar) com náuseas, vômitos, hiporexia, queda do estado geral, confusão mental, hipervolemia (anasarca, dispnéia) ou hipercalemia (K &gt; 6,0 mEq/L);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Síndrome nefrótica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ou nefrítica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com sinais de hipervolemia grave (congestão pulmonar com dispneia);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3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Nefrolitíase sintomática: com dor refratária a analgesia; dor associada a anúria, dor associada a rim único, ureterolitíase com hidronefrose associada;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3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Suspeita de infecção urinária com sintomas sistêmicos como febre persistente, queda do estado geral, hiporexia, queixas urinárias;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3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Hipertensão arterial com medidas de pressão arterial superiores ao percentil 95 para idade e altura.</w:t>
            </w:r>
          </w:p>
        </w:tc>
      </w:tr>
    </w:tbl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Observação: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 tabela com os percentis de pressão arterial pode ser consultada ao final do documento (tabelas 1 e 2) extraídas  do Manual de Orientação de Hipertensão Arterial na Infância a Adolescência da Sociedade Brasileira de Pediatria,  ou no link abaixo:</w:t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3c78d8"/>
            <w:sz w:val="24"/>
            <w:szCs w:val="24"/>
            <w:highlight w:val="white"/>
            <w:u w:val="single"/>
            <w:rtl w:val="0"/>
          </w:rPr>
          <w:t xml:space="preserve">https://www.sbp.com.br/fileadmin/user_upload/21635c-MO_-_Hipertensao_Arterial_Infanc_e_Adolesc.pdf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pStyle w:val="Heading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vopafdj0rm3z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TAXA DE FILTRAÇÃO GLOMERULAR EM PEDIATRIA 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 cálculo da taxa de filtração glomerular estimada (TFGe) em pediatria é realizado pela fórmula de Schwartz.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 Kidney Disease Improving Global Outcomes (KDIGO) classifica a doença renal crônica (DRC) com base na TFG, como apresentado na tabela a seguir:</w:t>
      </w:r>
      <w:r w:rsidDel="00000000" w:rsidR="00000000" w:rsidRPr="00000000">
        <w:rPr>
          <w:rtl w:val="0"/>
        </w:rPr>
      </w:r>
    </w:p>
    <w:tbl>
      <w:tblPr>
        <w:tblStyle w:val="Table2"/>
        <w:tblW w:w="8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80"/>
        <w:gridCol w:w="2880"/>
        <w:gridCol w:w="3450"/>
        <w:tblGridChange w:id="0">
          <w:tblGrid>
            <w:gridCol w:w="2580"/>
            <w:gridCol w:w="2880"/>
            <w:gridCol w:w="3450"/>
          </w:tblGrid>
        </w:tblGridChange>
      </w:tblGrid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Estadiamento de DRC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Taxa de filtração glomerular</w:t>
            </w:r>
          </w:p>
          <w:p w:rsidR="00000000" w:rsidDel="00000000" w:rsidP="00000000" w:rsidRDefault="00000000" w:rsidRPr="00000000" w14:paraId="0000005C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(ml/min/1,73m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alteração de função renal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Estágio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u w:val="single"/>
                <w:rtl w:val="0"/>
              </w:rPr>
              <w:t xml:space="preserve">&gt;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Normal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Estágio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60-89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Alteração discreta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Estágio 3a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45-59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Leve a moderada queda na TFG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Estágio 3b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30-44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Redução moderada a grave na TFG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Estágio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15-29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Redução importante na TFG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Estágio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&lt;15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keepLines w:val="1"/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Falência renal</w:t>
            </w:r>
          </w:p>
        </w:tc>
      </w:tr>
    </w:tbl>
    <w:p w:rsidR="00000000" w:rsidDel="00000000" w:rsidP="00000000" w:rsidRDefault="00000000" w:rsidRPr="00000000" w14:paraId="00000070">
      <w:pPr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Fonte:KDIGO 2012 Clinical Practice Guideline - Estadiamento de doença renal crônica em crianças </w:t>
      </w:r>
    </w:p>
    <w:p w:rsidR="00000000" w:rsidDel="00000000" w:rsidP="00000000" w:rsidRDefault="00000000" w:rsidRPr="00000000" w14:paraId="00000071">
      <w:pPr>
        <w:pStyle w:val="Heading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wen3khu0m9h5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INFORMAÇÕES OBRIGATÓRIAS NO PEDIDO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Há necessidade de inserção de motivo da solicitação, doenças de base (com medicamentos em uso),  e possíveis acometimentos de órgãos alvo já conhecidos.</w:t>
      </w:r>
    </w:p>
    <w:p w:rsidR="00000000" w:rsidDel="00000000" w:rsidP="00000000" w:rsidRDefault="00000000" w:rsidRPr="00000000" w14:paraId="00000074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75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 informação de alguns exames é obrigatória para a regulação assertiva de acordo com motivo da solicitação: </w:t>
      </w:r>
    </w:p>
    <w:p w:rsidR="00000000" w:rsidDel="00000000" w:rsidP="00000000" w:rsidRDefault="00000000" w:rsidRPr="00000000" w14:paraId="00000076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Infecção do Trato Urinário (ITU) recorrente: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exames de urina rotina, urocultura recentes (para comprovação de infecção e de sua recorrência) 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ultrassonagrafia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pediátrica. Para crianças com controle da micção, a orientação é fornecer uma amostra do jato médio para análise. Para crianças ainda sem controle da micção, a orientação, em especial para urocultura, é coleta de amostra de urina através de cateterização vesical.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Hidronefrose fetal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- informar o resultado do exame de ultrassonografia pediátrica (características de pelve e parênquima renal):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1"/>
          <w:numId w:val="12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Se leve / moderado (pelve renal &lt;15mm em US fetal) - informar o US pós-natal realizado após 15 dias de vida;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1"/>
          <w:numId w:val="12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Se moderado / grave (pelve renal entre 15mm e 25mm em US fetal) - o ideal é ter ultrassonografia pediátrica realizado na maternidade antes da alta hospitalar, se não houver o exame, fazer a solicitação do mesmo para encaminhamento adequado do paciente com US pós natal;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1"/>
          <w:numId w:val="12"/>
        </w:numPr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Se grave com pelve &gt; 25mm:  Encaminhar simultaneamente para Cirurgia Pediátrica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Proteinúria a esclarecer: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dois exames de urina rotina com positividade para proteinúria e ao menos uma dosagem de relação albumina/creatinina em amostra única de urina (RAC). Exames de ureia e creatinina.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1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Hematúria: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dois exames de urina comprovando hematúria e ultrassom dos rins e vias urinárias (este último, deve ser solicitado antes da consulta e,  sempre que possível, já levar o resultado). Exames de ureia e creatinina.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1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Litíase: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informação de resultado do ultrassonografia pediátrica com data, número e tamanho dos cálculos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iws0oyc2slfl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ESTRATIFICAÇÃO DE PRIORIDADES</w:t>
      </w:r>
    </w:p>
    <w:p w:rsidR="00000000" w:rsidDel="00000000" w:rsidP="00000000" w:rsidRDefault="00000000" w:rsidRPr="00000000" w14:paraId="00000084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No processo de qualificação do acesso, a partir das ferramentas regulatórias, a classificação de prioridade dos encaminhamentos é fundamental para garantir que os usuários recebam atendimento em tempo oportuno conforme a necessidade de priorização de atendimento, garantido assim, a equidade. Durante o processo de regulação da solicitação podem ser realizados pedidos de esclarecimentos para melhor definição do quadro.  O município de Belo Horizonte definiu quatro níveis de prioridade, representados por cores, cada uma correspondendo a um grau de priorização do atendimento, conforme veremos a seguir:</w:t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Lines w:val="1"/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Prioridades</w:t>
      </w:r>
    </w:p>
    <w:p w:rsidR="00000000" w:rsidDel="00000000" w:rsidP="00000000" w:rsidRDefault="00000000" w:rsidRPr="00000000" w14:paraId="00000088">
      <w:pPr>
        <w:keepLines w:val="1"/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🔴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VERMELHO - MUITO ALTA/REGULAÇÃO</w:t>
      </w:r>
    </w:p>
    <w:p w:rsidR="00000000" w:rsidDel="00000000" w:rsidP="00000000" w:rsidRDefault="00000000" w:rsidRPr="00000000" w14:paraId="00000089">
      <w:pPr>
        <w:keepLines w:val="1"/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LARANJA - ALTA</w:t>
      </w:r>
    </w:p>
    <w:p w:rsidR="00000000" w:rsidDel="00000000" w:rsidP="00000000" w:rsidRDefault="00000000" w:rsidRPr="00000000" w14:paraId="0000008A">
      <w:pPr>
        <w:keepLines w:val="1"/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🟡 AMARELO - MÉDIA</w:t>
      </w:r>
    </w:p>
    <w:p w:rsidR="00000000" w:rsidDel="00000000" w:rsidP="00000000" w:rsidRDefault="00000000" w:rsidRPr="00000000" w14:paraId="0000008B">
      <w:pPr>
        <w:keepLines w:val="1"/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🟢 VERDE - HABITUAL</w:t>
      </w:r>
    </w:p>
    <w:p w:rsidR="00000000" w:rsidDel="00000000" w:rsidP="00000000" w:rsidRDefault="00000000" w:rsidRPr="00000000" w14:paraId="0000008C">
      <w:pPr>
        <w:keepLines w:val="1"/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brbqanym5n5r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ENCAMINHAMENTO PARA SERVIÇO AMBULATORIAL DE NEFROLOGIA</w:t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 seguir, estão descritos os motivos de encaminhamento com a identificação de sua prioridade,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 desde que o paciente possua estabilidade clínica para  aguardar agendamento e condução do caso via ambulatorial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90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2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6bvqqblrqeyt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DOENÇA RENAL CRÔNICA (DRC) OU INJÚRIA RENAL AGUDA (IRA) EM RECUPERAÇÃO</w:t>
      </w:r>
    </w:p>
    <w:p w:rsidR="00000000" w:rsidDel="00000000" w:rsidP="00000000" w:rsidRDefault="00000000" w:rsidRPr="00000000" w14:paraId="00000092">
      <w:pPr>
        <w:spacing w:line="360" w:lineRule="auto"/>
        <w:ind w:left="0" w:right="-284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360" w:lineRule="auto"/>
        <w:ind w:left="0" w:right="-284" w:firstLine="0"/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MUITO ALTA 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VERMELHA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NO SIGRAH)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Taxa de Filtração Glomerular entre  30 a 90 mL/min/1,73m².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Na dependência do estágio da DRC haverá encaminhamento posterior para ambulatórios com acompanhamento por equipe multiprofissional.</w:t>
      </w:r>
    </w:p>
    <w:p w:rsidR="00000000" w:rsidDel="00000000" w:rsidP="00000000" w:rsidRDefault="00000000" w:rsidRPr="00000000" w14:paraId="00000097">
      <w:pPr>
        <w:ind w:left="144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17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Pacientes com injúria renal aguda e submetidos a diálise  durante internação com suspensão da terapia por recuperação completa ou parcial da função renal. É importante a informação do estabelecimento em que ocorreu a hospitalização, pois o agendamento deve ser no ambulatório vinculado ao mesmo, quando disponível.  A solicitação deve ser realizada antes da alta hospitalar. Esses agendamentos podem ser realizados pelos próprios hospitais ou pelo Centro de Saúde quando solicitado pelo hospital.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72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Observação: Pacientes submetidos a diálise  durante internação sem recuperação da função renal e mantendo dependência de terapia renal substitutiva  devem ter a solicitação de terapia dialítica no SIGRAH antes de alta hospitalar.  Há uma equipe de regulação específica para a avaliação, autorização e agendamento de solicitações de hemodiálise e diálise peritoneal. </w:t>
      </w:r>
    </w:p>
    <w:p w:rsidR="00000000" w:rsidDel="00000000" w:rsidP="00000000" w:rsidRDefault="00000000" w:rsidRPr="00000000" w14:paraId="0000009A">
      <w:pPr>
        <w:spacing w:line="360" w:lineRule="auto"/>
        <w:ind w:left="0" w:right="-284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360" w:lineRule="auto"/>
        <w:ind w:left="0" w:right="-284" w:firstLine="0"/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ALTA 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9900"/>
          <w:sz w:val="24"/>
          <w:szCs w:val="24"/>
          <w:rtl w:val="0"/>
        </w:rPr>
        <w:t xml:space="preserve">LARANJA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360" w:lineRule="auto"/>
        <w:ind w:left="436" w:right="-284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numPr>
          <w:ilvl w:val="0"/>
          <w:numId w:val="9"/>
        </w:numPr>
        <w:spacing w:line="360" w:lineRule="auto"/>
        <w:ind w:left="720" w:right="-284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Após alta de internação com IRA sem necessidade de diálise e recuperação completa da função renal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360" w:lineRule="auto"/>
        <w:ind w:right="-284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2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s0yqtjuasy9k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PROTEINÚRIA OU GLOMERULOPATIA </w:t>
      </w:r>
    </w:p>
    <w:p w:rsidR="00000000" w:rsidDel="00000000" w:rsidP="00000000" w:rsidRDefault="00000000" w:rsidRPr="00000000" w14:paraId="000000A0">
      <w:pPr>
        <w:spacing w:line="360" w:lineRule="auto"/>
        <w:ind w:left="0" w:right="-284" w:firstLine="0"/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360" w:lineRule="auto"/>
        <w:ind w:left="0" w:right="-284" w:firstLine="0"/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MUITO ALTA 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VERMELHA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NO SIGRAH)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Síndrome nefrótica caracterizada por edema e proteinúria nefrótica (acima de 50mg/Kg/dia) em situação de primeiro diagnóstico ou caso ocorra identificação de recidiva de doença (aumento da proteinúria associado a edema, hipoalbuminemia e hipercolesterolemia). Na situação de recidiva, a equipe da Atenção Primária deve alterar a prioridade de uma solicitação de retorno ou sinalizar por e-mail ao solicitante que altere a prioridade (caso a solicitação de retorno não tenha sido inserida pela APS).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360" w:lineRule="auto"/>
        <w:ind w:right="-284"/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ind w:right="-284"/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ALTA 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9900"/>
          <w:sz w:val="24"/>
          <w:szCs w:val="24"/>
          <w:rtl w:val="0"/>
        </w:rPr>
        <w:t xml:space="preserve">LARANJA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18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Síndrome nefrótica em ajuste de medicação, ou seja, crianças que já possuem diagnóstico sindrômico prévio, e sem acompanhamento de especialista;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0"/>
          <w:numId w:val="18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Glomerulopatias em investigação ou ajuste de medicação (albuminúria acima de 300mg/g,  mas não nefrótica e com TFG preservada, associada ou não a hematúria);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18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Após alta hospitalar de glomerulonefrite (GN) difusa aguda pós estreptocócica, em paciente estável (pressão arterial controlada e função renal preservada).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360" w:lineRule="auto"/>
        <w:ind w:left="-284" w:right="-284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MÉDIA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1c232"/>
          <w:sz w:val="24"/>
          <w:szCs w:val="24"/>
          <w:rtl w:val="0"/>
        </w:rPr>
        <w:t xml:space="preserve">AMARELA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Glomerulopatias sem alteração de função renal  com  relação albumina/creatinina (RAC) entre  30mg/g e 300 mg/g, sem alteração de função renal, ou seja, TFG estimada preservada).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Síndrome nefrótica controlada.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2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whlvm918af9i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HIDRONEFROSE E DOENÇAS OBSTRUTIVAS MECÂNICAS OU FUNCIONAIS</w:t>
      </w:r>
    </w:p>
    <w:p w:rsidR="00000000" w:rsidDel="00000000" w:rsidP="00000000" w:rsidRDefault="00000000" w:rsidRPr="00000000" w14:paraId="000000B2">
      <w:pPr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360" w:lineRule="auto"/>
        <w:ind w:right="-284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MUITO ALTA 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VERMELHA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NO SIGRAH)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numPr>
          <w:ilvl w:val="0"/>
          <w:numId w:val="2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Hidronefrose fetal grave caracterizada por  pelve &gt; 25mm (ao exame de imagem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ultrassonagrafia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pediátrica) ou alteração importante de parênquima renal;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Observações: Pacientes com hidronefrose fetal grave devem ser simultaneamente encaminhados para Cirurgia Pediátrica. </w:t>
      </w:r>
    </w:p>
    <w:p w:rsidR="00000000" w:rsidDel="00000000" w:rsidP="00000000" w:rsidRDefault="00000000" w:rsidRPr="00000000" w14:paraId="000000B8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Se suspeita de válvula de uretra posterior não fulgurada (operada) ou sem vesicostomia deverá ser internado para intervenção cirúrgica (fluxo da urgência).</w:t>
      </w:r>
    </w:p>
    <w:p w:rsidR="00000000" w:rsidDel="00000000" w:rsidP="00000000" w:rsidRDefault="00000000" w:rsidRPr="00000000" w14:paraId="000000B9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360" w:lineRule="auto"/>
        <w:ind w:right="-284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ALTA 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9900"/>
          <w:sz w:val="24"/>
          <w:szCs w:val="24"/>
          <w:rtl w:val="0"/>
        </w:rPr>
        <w:t xml:space="preserve">LARANJA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numPr>
          <w:ilvl w:val="0"/>
          <w:numId w:val="2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Uropatias obstrutivas ou neonatais em investigação. Deve ser informada a medida da pelve em ultrassonografia fetal e pós natal.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360" w:lineRule="auto"/>
        <w:ind w:left="-284" w:right="-284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MÉDIA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1c232"/>
          <w:sz w:val="24"/>
          <w:szCs w:val="24"/>
          <w:rtl w:val="0"/>
        </w:rPr>
        <w:t xml:space="preserve">AMARELA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1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Disfunção do trato urinário e intestinal (DTUI) em crianças com perdas urinárias recorrentes durante o dia associada ou não a infecção urinária.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16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Uropatias obstrutivas ou neonatais em investigação (com pelve até 15mm ântero-posterior e unilateral).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360" w:lineRule="auto"/>
        <w:ind w:left="-284" w:right="-284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BAIXA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aa84f"/>
          <w:sz w:val="24"/>
          <w:szCs w:val="24"/>
          <w:rtl w:val="0"/>
        </w:rPr>
        <w:t xml:space="preserve">VERDE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numPr>
          <w:ilvl w:val="0"/>
          <w:numId w:val="2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Pós-operatório de uropatias com função renal preservada;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numPr>
          <w:ilvl w:val="0"/>
          <w:numId w:val="2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DTUI em melhora;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numPr>
          <w:ilvl w:val="0"/>
          <w:numId w:val="2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Bexiga neurogênica com cateterismo vesical e sem infecção do trato urinário (ITU) sintomática;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numPr>
          <w:ilvl w:val="0"/>
          <w:numId w:val="2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Enurese noturna monossintomática;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2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wnb7dyrccu9p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DISTÚRBIOS HIDROELETROLÍTICOS</w:t>
      </w:r>
    </w:p>
    <w:p w:rsidR="00000000" w:rsidDel="00000000" w:rsidP="00000000" w:rsidRDefault="00000000" w:rsidRPr="00000000" w14:paraId="000000CC">
      <w:pPr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360" w:lineRule="auto"/>
        <w:ind w:right="-284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ALTA 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9900"/>
          <w:sz w:val="24"/>
          <w:szCs w:val="24"/>
          <w:rtl w:val="0"/>
        </w:rPr>
        <w:t xml:space="preserve">LARANJA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0"/>
          <w:numId w:val="1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Suspeita clínica de acidose tubular renal ou doença já diagnosticada em ajuste de medicação.  Em crianças, a acidose tubular renal (ATR) é causada por um defeito hereditário ou adquirido que afeta a capacidade do rim de recuperar o bicarbonato filtrado ou excretar amônia ou ácido titulável. A ATR é caracterizada por uma acidose metabólica. A acidose metabólica é uma anormalidade bioquímica definida pelo aumento da concentração de íons hidrogênio (H + - redução de pH) no sangue e/ou pela redução da concentração de bicarbonato (HCO3-) no soro.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Observação: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Essas solicitações devem ser agendadas com gasometria venosa recente, dosagens de íons e exame de urina rotina (exame de avaliação do sedimento - EAS).</w:t>
      </w:r>
    </w:p>
    <w:p w:rsidR="00000000" w:rsidDel="00000000" w:rsidP="00000000" w:rsidRDefault="00000000" w:rsidRPr="00000000" w14:paraId="000000D0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360" w:lineRule="auto"/>
        <w:ind w:left="-284" w:right="-284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MÉDIA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1c232"/>
          <w:sz w:val="24"/>
          <w:szCs w:val="24"/>
          <w:rtl w:val="0"/>
        </w:rPr>
        <w:t xml:space="preserve">AMARELA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numPr>
          <w:ilvl w:val="0"/>
          <w:numId w:val="1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Acidose tubular renal já diagnosticada e controlada em tratamento ambulatorial, ou seja, retorno.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Style w:val="Heading2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pjl2b5conc9q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HEMATÚRIA GLOMERULAR ISOLADA (SEM PROTEINÚRIA ASSOCIADA) E TFG PRESERVADA</w:t>
      </w:r>
    </w:p>
    <w:p w:rsidR="00000000" w:rsidDel="00000000" w:rsidP="00000000" w:rsidRDefault="00000000" w:rsidRPr="00000000" w14:paraId="000000D7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360" w:lineRule="auto"/>
        <w:ind w:right="-284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ALTA 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9900"/>
          <w:sz w:val="24"/>
          <w:szCs w:val="24"/>
          <w:rtl w:val="0"/>
        </w:rPr>
        <w:t xml:space="preserve">LARANJA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Hematúria glomerular (com TFG preservada) que é caracterizada por presença de cilindros hemáticos em exame de urina rotina e ou pela presença de hemácias dismórficas em exame de dismorfismo eritrocitário (na vigência de hematúria repetida e confirmada e na ausência de infecção do trato urinário).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Style w:val="Heading2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heading=h.3736z06jv22b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CISTOS RENAIS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DB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360" w:lineRule="auto"/>
        <w:ind w:right="-284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ALTA 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9900"/>
          <w:sz w:val="24"/>
          <w:szCs w:val="24"/>
          <w:rtl w:val="0"/>
        </w:rPr>
        <w:t xml:space="preserve">LARANJA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19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Doença renal policística autossômica recessiva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Para essa solicitação, deve ser informado o resultado de exame de imagem, e de creatinina sérica. </w:t>
      </w:r>
    </w:p>
    <w:p w:rsidR="00000000" w:rsidDel="00000000" w:rsidP="00000000" w:rsidRDefault="00000000" w:rsidRPr="00000000" w14:paraId="000000E0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360" w:lineRule="auto"/>
        <w:ind w:left="-284" w:right="-284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MÉDIA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1c232"/>
          <w:sz w:val="24"/>
          <w:szCs w:val="24"/>
          <w:rtl w:val="0"/>
        </w:rPr>
        <w:t xml:space="preserve">AMARELA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numPr>
          <w:ilvl w:val="0"/>
          <w:numId w:val="2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Doença Renal Policística Autossômica Dominante: caracterizada pela presença de cistos renais bilaterais visíveis em exame de imagem.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Observação: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 encaminhamento ao nefrologista pediátrico deverá ser feito após a confirmação do diagnóstico por exame de imagem e não para investigação de paciente com história familiar positiva.</w:t>
      </w:r>
    </w:p>
    <w:p w:rsidR="00000000" w:rsidDel="00000000" w:rsidP="00000000" w:rsidRDefault="00000000" w:rsidRPr="00000000" w14:paraId="000000E4">
      <w:pPr>
        <w:pStyle w:val="Heading2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62nc6x4u512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HIPERTENSÃO ARTERIAL </w:t>
      </w:r>
    </w:p>
    <w:p w:rsidR="00000000" w:rsidDel="00000000" w:rsidP="00000000" w:rsidRDefault="00000000" w:rsidRPr="00000000" w14:paraId="000000E5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line="360" w:lineRule="auto"/>
        <w:ind w:right="-284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ALTA 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9900"/>
          <w:sz w:val="24"/>
          <w:szCs w:val="24"/>
          <w:rtl w:val="0"/>
        </w:rPr>
        <w:t xml:space="preserve">LARANJA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numPr>
          <w:ilvl w:val="0"/>
          <w:numId w:val="1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Hipertensão arterial em investigação acima do percentil 90 para idade e altura;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0"/>
          <w:numId w:val="1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Para pacientes que já estão em acompanhamento com a cardiologia e com suspeita de hipertensão renovascular (estenose de artéria renal), deve ser solicitada angiotomografia ou doppler de artérias renais antes do encaminhamento.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Style w:val="Heading2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209fd3wpqobo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INFECÇÃO DO TRATO URINÁRIO (ITU)</w:t>
      </w:r>
    </w:p>
    <w:p w:rsidR="00000000" w:rsidDel="00000000" w:rsidP="00000000" w:rsidRDefault="00000000" w:rsidRPr="00000000" w14:paraId="000000EB">
      <w:pPr>
        <w:ind w:left="720" w:firstLine="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line="360" w:lineRule="auto"/>
        <w:ind w:left="-284" w:right="-284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MÉDIA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1c232"/>
          <w:sz w:val="24"/>
          <w:szCs w:val="24"/>
          <w:rtl w:val="0"/>
        </w:rPr>
        <w:t xml:space="preserve">AMARELA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Acompanhamento de infecções recorrentes.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Define-se ITU recorrente: dois ou mais episódios de pielonefrite, um episódio de cistite e um de pielonefrite em 6 meses, 3 ou mais episódios de cistite em 1 ano. Realizar ultrassonografia pediátrica antes do encaminhamento.</w:t>
      </w:r>
    </w:p>
    <w:p w:rsidR="00000000" w:rsidDel="00000000" w:rsidP="00000000" w:rsidRDefault="00000000" w:rsidRPr="00000000" w14:paraId="000000EF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Style w:val="Heading2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sw0dxglftsdi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NEFROLITÍASE</w:t>
      </w:r>
    </w:p>
    <w:p w:rsidR="00000000" w:rsidDel="00000000" w:rsidP="00000000" w:rsidRDefault="00000000" w:rsidRPr="00000000" w14:paraId="000000F1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360" w:lineRule="auto"/>
        <w:ind w:left="-284" w:right="-284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MÉDIA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1c232"/>
          <w:sz w:val="24"/>
          <w:szCs w:val="24"/>
          <w:rtl w:val="0"/>
        </w:rPr>
        <w:t xml:space="preserve">AMARELA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Criança com confirmação de litíase renal em exame de imagem, sem obstrução e sem alteração de função renal. O exame de imagem deve estar descrito na solicitação, assim como a data do mesmo.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ind w:left="72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Observação: Casos com obstrução (cálculos na junção uretero-pélvica, no ureter ou na junção uretero-vesical com dilatação associada) devem ser encaminhados para urgência.</w:t>
      </w:r>
    </w:p>
    <w:p w:rsidR="00000000" w:rsidDel="00000000" w:rsidP="00000000" w:rsidRDefault="00000000" w:rsidRPr="00000000" w14:paraId="000000F5">
      <w:pPr>
        <w:pStyle w:val="Heading2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e0na9qlkbhbv" w:id="16"/>
      <w:bookmarkEnd w:id="1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DOENÇA FALCIFORME COM INFARTO RENAL OU PROTEINÚRIA</w:t>
      </w:r>
    </w:p>
    <w:p w:rsidR="00000000" w:rsidDel="00000000" w:rsidP="00000000" w:rsidRDefault="00000000" w:rsidRPr="00000000" w14:paraId="000000F6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360" w:lineRule="auto"/>
        <w:ind w:left="141.73228346456688" w:right="-284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MUITO ALTA 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VERMELHA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NO SIGRAH)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numPr>
          <w:ilvl w:val="0"/>
          <w:numId w:val="27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Doença falciforme associada à DRC ou IRA independente de RAC ou proteinúria nefrótica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360" w:lineRule="auto"/>
        <w:ind w:left="0" w:right="-284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PRIORIDADE ALTA 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9900"/>
          <w:sz w:val="24"/>
          <w:szCs w:val="24"/>
          <w:rtl w:val="0"/>
        </w:rPr>
        <w:t xml:space="preserve">LARANJA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numPr>
          <w:ilvl w:val="0"/>
          <w:numId w:val="2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Doença falciforme associada a RAC &gt; 300mg/g e TFG preservada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360" w:lineRule="auto"/>
        <w:ind w:left="-284" w:right="-284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PRIORIDADE MÉDIA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1c232"/>
          <w:sz w:val="24"/>
          <w:szCs w:val="24"/>
          <w:rtl w:val="0"/>
        </w:rPr>
        <w:t xml:space="preserve">AMARELA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numPr>
          <w:ilvl w:val="0"/>
          <w:numId w:val="1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Doença falciforme com taxa de filtração glomerular preservada e RAC &lt; 300mg/g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Style w:val="Heading2"/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j13577rolraa" w:id="17"/>
      <w:bookmarkEnd w:id="1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RIM ÚNICO (OU UM RIM DISPLÁSICO MULTICÍSTICO EM REGRESSÃO)</w:t>
      </w:r>
    </w:p>
    <w:p w:rsidR="00000000" w:rsidDel="00000000" w:rsidP="00000000" w:rsidRDefault="00000000" w:rsidRPr="00000000" w14:paraId="00000103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360" w:lineRule="auto"/>
        <w:ind w:left="-284" w:right="-284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PRIORIDADE BAIXA (INSERIR SOB A COR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6aa84f"/>
          <w:sz w:val="24"/>
          <w:szCs w:val="24"/>
          <w:rtl w:val="0"/>
        </w:rPr>
        <w:t xml:space="preserve">VERDE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SIGRAH)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numPr>
          <w:ilvl w:val="0"/>
          <w:numId w:val="2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 rim único possui prioridade habitual de controle, exceto se presença de  albuminúria e ou de alteração de TFG, pois na vigência de alguma dessas alterações, prevalecerá o critério de maior prioridade.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Style w:val="Heading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5cibi6rrzknt" w:id="18"/>
      <w:bookmarkEnd w:id="1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ESCLARECIMENTOS RELACIONADOS AO PROCESSO REGULATÓRIO</w:t>
      </w:r>
    </w:p>
    <w:p w:rsidR="00000000" w:rsidDel="00000000" w:rsidP="00000000" w:rsidRDefault="00000000" w:rsidRPr="00000000" w14:paraId="00000108">
      <w:pPr>
        <w:ind w:left="720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numPr>
          <w:ilvl w:val="0"/>
          <w:numId w:val="20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Pacientes do interior inseridos na nossa central de regulação pelo sistema SIGRAH, que estão fora da cota de vagas do município solicitante para o mês vigente, serão agendados no mesmo mês se houver critérios de urgência que justifiquem a marcação da consulta.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numPr>
          <w:ilvl w:val="0"/>
          <w:numId w:val="20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Pacientes que possuem critérios de controle em nefrologia pediátrica serão agendados, sempre que possível, para a mesma equipe, com o objetivo de manter vínculo entre usuário e profissionais. É importante que o responsável pela solicitação informe o nome do profissional especialista assistente e ou estabelecimento de saúde.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numPr>
          <w:ilvl w:val="0"/>
          <w:numId w:val="20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 SIGRAH agenda primeiras consultas para Hospital Municipal Odilon Behrens (HMOB), Unidade de Referência Secundária Saudade (URSS), Faculdade de Ciências Médicas de Minas Gerais (FCMMG).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numPr>
          <w:ilvl w:val="0"/>
          <w:numId w:val="20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Os retornos dos pacientes atendidos na FCMMG, Santa Casa e HC-UFMG, Hospital João Paulo II devem ser agendados após a consulta, no próprio estabelecimento. Os pacientes já acompanhados nestas unidades devem tentar contato por telefone ou comparecer aos serviços para o agendamento do retorno caso percam a consulta de seguimento.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Idade para encaminhamento para Nefrologia Pediátrica de acordo com nota técnica da Gerência da Rede Ambulatorial Especializada ( GERAE) de 10 de março de 2021:</w:t>
      </w:r>
    </w:p>
    <w:p w:rsidR="00000000" w:rsidDel="00000000" w:rsidP="00000000" w:rsidRDefault="00000000" w:rsidRPr="00000000" w14:paraId="0000010F">
      <w:pPr>
        <w:numPr>
          <w:ilvl w:val="0"/>
          <w:numId w:val="10"/>
        </w:numPr>
        <w:ind w:left="144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Primeira Consulta: 15 anos incompletos (até 14 anos, 11 meses e 29 dias)</w:t>
      </w:r>
    </w:p>
    <w:p w:rsidR="00000000" w:rsidDel="00000000" w:rsidP="00000000" w:rsidRDefault="00000000" w:rsidRPr="00000000" w14:paraId="00000110">
      <w:pPr>
        <w:numPr>
          <w:ilvl w:val="0"/>
          <w:numId w:val="10"/>
        </w:numPr>
        <w:ind w:left="144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Consultas de Retorno: 18 anos incompletos (até 17 anos, 11 meses e 29 dias)</w:t>
      </w:r>
    </w:p>
    <w:p w:rsidR="00000000" w:rsidDel="00000000" w:rsidP="00000000" w:rsidRDefault="00000000" w:rsidRPr="00000000" w14:paraId="00000111">
      <w:pPr>
        <w:pStyle w:val="Heading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g4lo0hnewezo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Style w:val="Heading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nnbewwl3hfoq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Style w:val="Heading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dbljqkcppm70" w:id="21"/>
      <w:bookmarkEnd w:id="2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ESTIMATIVA DA TAXA DE FILTRAÇÃO GLOMERULAR EM CRIANÇAS PELA FÓRMULA DE SCHWARTZ</w:t>
      </w:r>
    </w:p>
    <w:p w:rsidR="00000000" w:rsidDel="00000000" w:rsidP="00000000" w:rsidRDefault="00000000" w:rsidRPr="00000000" w14:paraId="00000115">
      <w:pPr>
        <w:keepLines w:val="1"/>
        <w:spacing w:line="276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60"/>
        <w:tblGridChange w:id="0">
          <w:tblGrid>
            <w:gridCol w:w="6360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60.0" w:type="dxa"/>
              <w:left w:w="160.0" w:type="dxa"/>
              <w:bottom w:w="16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232323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highlight w:val="white"/>
                <w:rtl w:val="0"/>
              </w:rPr>
              <w:t xml:space="preserve">Taxa de filtração glomerular = k * Altura / Creatinina sérica</w:t>
            </w:r>
          </w:p>
          <w:p w:rsidR="00000000" w:rsidDel="00000000" w:rsidP="00000000" w:rsidRDefault="00000000" w:rsidRPr="00000000" w14:paraId="00000117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2323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keepLines w:val="1"/>
        <w:shd w:fill="ffffff" w:val="clear"/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Lines w:val="1"/>
        <w:shd w:fill="ffffff" w:val="clear"/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503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51.755905511812"/>
        <w:gridCol w:w="4251.755905511812"/>
        <w:tblGridChange w:id="0">
          <w:tblGrid>
            <w:gridCol w:w="4251.755905511812"/>
            <w:gridCol w:w="4251.755905511812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2323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rtl w:val="0"/>
              </w:rPr>
              <w:t xml:space="preserve">Idade e sexo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color w:val="2323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rtl w:val="0"/>
              </w:rPr>
              <w:t xml:space="preserve">Valores da constante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232323"/>
                <w:rtl w:val="0"/>
              </w:rPr>
              <w:t xml:space="preserve">k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2323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rtl w:val="0"/>
              </w:rPr>
              <w:t xml:space="preserve">Prematuros até completarem 1 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2323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rtl w:val="0"/>
              </w:rPr>
              <w:t xml:space="preserve">0,33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2323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rtl w:val="0"/>
              </w:rPr>
              <w:t xml:space="preserve">RN termo até completarem 1 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2323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rtl w:val="0"/>
              </w:rPr>
              <w:t xml:space="preserve">0,45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2323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rtl w:val="0"/>
              </w:rPr>
              <w:t xml:space="preserve">Meninos e meninas até adolescência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2323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rtl w:val="0"/>
              </w:rPr>
              <w:t xml:space="preserve">0,55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2323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rtl w:val="0"/>
              </w:rPr>
              <w:t xml:space="preserve">Menina adolescente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2323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rtl w:val="0"/>
              </w:rPr>
              <w:t xml:space="preserve">0,55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2323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rtl w:val="0"/>
              </w:rPr>
              <w:t xml:space="preserve">Menino adolescente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Lines w:val="1"/>
              <w:spacing w:line="276" w:lineRule="auto"/>
              <w:jc w:val="both"/>
              <w:rPr>
                <w:rFonts w:ascii="Times New Roman" w:cs="Times New Roman" w:eastAsia="Times New Roman" w:hAnsi="Times New Roman"/>
                <w:color w:val="2323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rtl w:val="0"/>
              </w:rPr>
              <w:t xml:space="preserve">0,7</w:t>
            </w:r>
          </w:p>
        </w:tc>
      </w:tr>
    </w:tbl>
    <w:p w:rsidR="00000000" w:rsidDel="00000000" w:rsidP="00000000" w:rsidRDefault="00000000" w:rsidRPr="00000000" w14:paraId="00000126">
      <w:pPr>
        <w:keepLines w:val="1"/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*** Tabelas de percentil para pressão arterial em pediatria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180" w:before="360" w:lineRule="auto"/>
        <w:rPr>
          <w:rFonts w:ascii="Times New Roman" w:cs="Times New Roman" w:eastAsia="Times New Roman" w:hAnsi="Times New Roman"/>
          <w:b w:val="1"/>
          <w:bCs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240" w:before="18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1 SOCIEDADE BRASILEIRA DE PEDIATRIA. Departamento Científico de Nefrologia.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Hipertensão arterial na infância e adolescência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: Manual de Orientação. n. 2. Rio de Janeiro: SBP, abr. 2019. Disponível em: sbp.com.br. Acesso em: 15 jul. 2026. </w:t>
      </w:r>
    </w:p>
    <w:p w:rsidR="00000000" w:rsidDel="00000000" w:rsidP="00000000" w:rsidRDefault="00000000" w:rsidRPr="00000000" w14:paraId="0000012B">
      <w:pPr>
        <w:spacing w:after="240" w:before="18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 KIDNEY DISEASE: IMPROVING GLOBAL OUTCOMES (KDIGO).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KDIGO 2012 Clinical Practice Guideline for the Evaluation and Management of Chronic Kidney Disease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Kidney International Supplements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v. 3, n. 1, p. 1-150, Jan. 2013.</w:t>
      </w:r>
    </w:p>
    <w:p w:rsidR="00000000" w:rsidDel="00000000" w:rsidP="00000000" w:rsidRDefault="00000000" w:rsidRPr="00000000" w14:paraId="0000012C">
      <w:pPr>
        <w:spacing w:after="240" w:before="18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3 FLYNN, Joseph T.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et al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. Clinical Practice Guideline for Screening and Management of High Blood Pressure in Children and Adolescents.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Pediatrics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v. 140, n. 3, e20171904, Sep. 2017. </w:t>
      </w:r>
    </w:p>
    <w:p w:rsidR="00000000" w:rsidDel="00000000" w:rsidP="00000000" w:rsidRDefault="00000000" w:rsidRPr="00000000" w14:paraId="0000012D">
      <w:pPr>
        <w:spacing w:after="240" w:before="18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4 DIONNE, Janice M.; ABITBOL, Carolyn L.; FLYNN, Joseph T. Hypertension in infancy: diagnosis, management and outcome.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white"/>
          <w:rtl w:val="0"/>
        </w:rPr>
        <w:t xml:space="preserve">Pediatric Nephrology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v. 27, n. 1, p. 17-32, Jan. 2012.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Style w:val="Heading1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bookmarkStart w:colFirst="0" w:colLast="0" w:name="_heading=h.gapa2rfsgsg7" w:id="22"/>
      <w:bookmarkEnd w:id="2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1 - TABELAS DE HIPERTENSÃO ARTERIAL NA INFÂNCIA E ADOLESCÊNCIA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Style w:val="Heading2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kuu23stb9tqj" w:id="23"/>
      <w:bookmarkEnd w:id="2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TABELA 1 - Percentis de Pressão arterial Sistêmica para Meninos por Idade e Percentis de Estatura</w:t>
      </w:r>
    </w:p>
    <w:p w:rsidR="00000000" w:rsidDel="00000000" w:rsidP="00000000" w:rsidRDefault="00000000" w:rsidRPr="00000000" w14:paraId="00000133">
      <w:pPr>
        <w:keepLines w:val="1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</w:rPr>
        <w:drawing>
          <wp:inline distB="114300" distT="114300" distL="114300" distR="114300">
            <wp:extent cx="4681538" cy="6613601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81538" cy="66136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Lines w:val="1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</w:rPr>
        <w:drawing>
          <wp:inline distB="114300" distT="114300" distL="114300" distR="114300">
            <wp:extent cx="4770259" cy="6738938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70259" cy="6738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Lines w:val="1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Lines w:val="1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Lines w:val="1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Lines w:val="1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Lines w:val="1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Lines w:val="1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Lines w:val="1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Lines w:val="1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Lines w:val="1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Style w:val="Heading2"/>
        <w:rPr>
          <w:rFonts w:ascii="Calibri" w:cs="Calibri" w:eastAsia="Calibri" w:hAnsi="Calibri"/>
          <w:sz w:val="24"/>
          <w:szCs w:val="24"/>
          <w:highlight w:val="white"/>
        </w:rPr>
      </w:pPr>
      <w:bookmarkStart w:colFirst="0" w:colLast="0" w:name="_heading=h.kdnf2bgbmajk" w:id="24"/>
      <w:bookmarkEnd w:id="2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TABELA 2 - Percentis de Pressão arterial Sistêmica para Meninas por Idade e Percentis de Estatura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Lines w:val="1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</w:rPr>
        <w:drawing>
          <wp:inline distB="114300" distT="114300" distL="114300" distR="114300">
            <wp:extent cx="4845486" cy="684521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45486" cy="68452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Lines w:val="1"/>
        <w:spacing w:line="276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</w:rPr>
        <w:drawing>
          <wp:inline distB="114300" distT="114300" distL="114300" distR="114300">
            <wp:extent cx="4844426" cy="6843713"/>
            <wp:effectExtent b="0" l="0" r="0" t="0"/>
            <wp:docPr id="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44426" cy="6843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default"/>
      <w:footerReference r:id="rId15" w:type="first"/>
      <w:pgSz w:h="16834" w:w="11909" w:orient="portrait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C">
    <w:pPr>
      <w:pBdr>
        <w:top w:color="000000" w:space="1" w:sz="4" w:val="single"/>
      </w:pBdr>
      <w:tabs>
        <w:tab w:val="center" w:leader="none" w:pos="4252"/>
        <w:tab w:val="right" w:leader="none" w:pos="8504"/>
      </w:tabs>
      <w:spacing w:line="260" w:lineRule="auto"/>
      <w:jc w:val="center"/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D">
    <w:pPr>
      <w:pBdr>
        <w:top w:color="000000" w:space="1" w:sz="4" w:val="single"/>
      </w:pBdr>
      <w:tabs>
        <w:tab w:val="center" w:leader="none" w:pos="4252"/>
        <w:tab w:val="right" w:leader="none" w:pos="8504"/>
      </w:tabs>
      <w:spacing w:line="26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Avenida Afonso Pena, n.º 2.336, Bairro Savassi, CEP 30.130-012</w:t>
    </w:r>
  </w:p>
  <w:p w:rsidR="00000000" w:rsidDel="00000000" w:rsidP="00000000" w:rsidRDefault="00000000" w:rsidRPr="00000000" w14:paraId="0000014E">
    <w:pPr>
      <w:pBdr>
        <w:top w:color="000000" w:space="1" w:sz="4" w:val="single"/>
      </w:pBdr>
      <w:tabs>
        <w:tab w:val="center" w:leader="none" w:pos="4252"/>
        <w:tab w:val="right" w:leader="none" w:pos="8504"/>
      </w:tabs>
      <w:spacing w:line="260" w:lineRule="auto"/>
      <w:jc w:val="center"/>
      <w:rPr/>
    </w:pPr>
    <w:r w:rsidDel="00000000" w:rsidR="00000000" w:rsidRPr="00000000">
      <w:rPr>
        <w:sz w:val="18"/>
        <w:szCs w:val="18"/>
        <w:rtl w:val="0"/>
      </w:rPr>
      <w:t xml:space="preserve">Belo Horizonte, MG - Telefone (31) 3277-8022 - E-mail: gerae@pbh.gov.br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F">
    <w:pPr>
      <w:pBdr>
        <w:top w:color="000000" w:space="1" w:sz="4" w:val="single"/>
      </w:pBdr>
      <w:tabs>
        <w:tab w:val="center" w:leader="none" w:pos="4252"/>
        <w:tab w:val="right" w:leader="none" w:pos="8504"/>
      </w:tabs>
      <w:spacing w:line="260" w:lineRule="auto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7">
    <w:pPr>
      <w:widowControl w:val="0"/>
      <w:spacing w:line="276" w:lineRule="auto"/>
      <w:rPr/>
    </w:pPr>
    <w:r w:rsidDel="00000000" w:rsidR="00000000" w:rsidRPr="00000000">
      <w:rPr>
        <w:rtl w:val="0"/>
      </w:rPr>
    </w:r>
  </w:p>
  <w:tbl>
    <w:tblPr>
      <w:tblStyle w:val="Table5"/>
      <w:tblW w:w="9699.0" w:type="dxa"/>
      <w:jc w:val="left"/>
      <w:tblInd w:w="57.0" w:type="dxa"/>
      <w:tblLayout w:type="fixed"/>
      <w:tblLook w:val="0400"/>
    </w:tblPr>
    <w:tblGrid>
      <w:gridCol w:w="2909"/>
      <w:gridCol w:w="6790"/>
      <w:tblGridChange w:id="0">
        <w:tblGrid>
          <w:gridCol w:w="2909"/>
          <w:gridCol w:w="6790"/>
        </w:tblGrid>
      </w:tblGridChange>
    </w:tblGrid>
    <w:tr>
      <w:trPr>
        <w:cantSplit w:val="0"/>
        <w:trHeight w:val="952" w:hRule="atLeast"/>
        <w:tblHeader w:val="0"/>
      </w:trPr>
      <w:tc>
        <w:tcPr>
          <w:shd w:fill="auto" w:val="clear"/>
          <w:tcMar>
            <w:top w:w="28.0" w:type="dxa"/>
            <w:left w:w="57.0" w:type="dxa"/>
            <w:bottom w:w="28.0" w:type="dxa"/>
            <w:right w:w="57.0" w:type="dxa"/>
          </w:tcMar>
        </w:tcPr>
        <w:p w:rsidR="00000000" w:rsidDel="00000000" w:rsidP="00000000" w:rsidRDefault="00000000" w:rsidRPr="00000000" w14:paraId="00000148">
          <w:pPr>
            <w:widowControl w:val="0"/>
            <w:spacing w:line="240" w:lineRule="auto"/>
            <w:rPr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0"/>
              <w:szCs w:val="20"/>
            </w:rPr>
            <w:drawing>
              <wp:inline distB="0" distT="0" distL="0" distR="0">
                <wp:extent cx="1777246" cy="394237"/>
                <wp:effectExtent b="0" l="0" r="0" 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7246" cy="39423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28.0" w:type="dxa"/>
            <w:left w:w="57.0" w:type="dxa"/>
            <w:bottom w:w="28.0" w:type="dxa"/>
            <w:right w:w="57.0" w:type="dxa"/>
          </w:tcMar>
          <w:vAlign w:val="center"/>
        </w:tcPr>
        <w:p w:rsidR="00000000" w:rsidDel="00000000" w:rsidP="00000000" w:rsidRDefault="00000000" w:rsidRPr="00000000" w14:paraId="00000149">
          <w:pPr>
            <w:widowControl w:val="0"/>
            <w:spacing w:line="240" w:lineRule="auto"/>
            <w:jc w:val="right"/>
            <w:rPr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SECRETARIA MUNICIPAL DE SAÚDE</w:t>
          </w:r>
        </w:p>
        <w:p w:rsidR="00000000" w:rsidDel="00000000" w:rsidP="00000000" w:rsidRDefault="00000000" w:rsidRPr="00000000" w14:paraId="0000014A">
          <w:pPr>
            <w:widowControl w:val="0"/>
            <w:spacing w:line="240" w:lineRule="auto"/>
            <w:jc w:val="right"/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SUBSECRETARIA DE ATENÇÃO À SAÚDE</w:t>
          </w:r>
        </w:p>
      </w:tc>
    </w:tr>
  </w:tbl>
  <w:p w:rsidR="00000000" w:rsidDel="00000000" w:rsidP="00000000" w:rsidRDefault="00000000" w:rsidRPr="00000000" w14:paraId="0000014B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1">
    <w:pPr>
      <w:widowControl w:val="0"/>
      <w:spacing w:line="240" w:lineRule="auto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tbl>
    <w:tblPr>
      <w:tblStyle w:val="Table6"/>
      <w:tblW w:w="9699.0" w:type="dxa"/>
      <w:jc w:val="left"/>
      <w:tblInd w:w="57.0" w:type="dxa"/>
      <w:tblLayout w:type="fixed"/>
      <w:tblLook w:val="0400"/>
    </w:tblPr>
    <w:tblGrid>
      <w:gridCol w:w="2909"/>
      <w:gridCol w:w="6790"/>
      <w:tblGridChange w:id="0">
        <w:tblGrid>
          <w:gridCol w:w="2909"/>
          <w:gridCol w:w="6790"/>
        </w:tblGrid>
      </w:tblGridChange>
    </w:tblGrid>
    <w:tr>
      <w:trPr>
        <w:cantSplit w:val="0"/>
        <w:trHeight w:val="952" w:hRule="atLeast"/>
        <w:tblHeader w:val="0"/>
      </w:trPr>
      <w:tc>
        <w:tcPr>
          <w:shd w:fill="auto" w:val="clear"/>
          <w:tcMar>
            <w:top w:w="28.0" w:type="dxa"/>
            <w:left w:w="57.0" w:type="dxa"/>
            <w:bottom w:w="28.0" w:type="dxa"/>
            <w:right w:w="57.0" w:type="dxa"/>
          </w:tcMar>
        </w:tcPr>
        <w:p w:rsidR="00000000" w:rsidDel="00000000" w:rsidP="00000000" w:rsidRDefault="00000000" w:rsidRPr="00000000" w14:paraId="00000152">
          <w:pPr>
            <w:widowControl w:val="0"/>
            <w:spacing w:line="240" w:lineRule="auto"/>
            <w:rPr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0"/>
              <w:szCs w:val="20"/>
            </w:rPr>
            <w:drawing>
              <wp:inline distB="0" distT="0" distL="0" distR="0">
                <wp:extent cx="1777246" cy="394237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7246" cy="39423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28.0" w:type="dxa"/>
            <w:left w:w="57.0" w:type="dxa"/>
            <w:bottom w:w="28.0" w:type="dxa"/>
            <w:right w:w="57.0" w:type="dxa"/>
          </w:tcMar>
          <w:vAlign w:val="center"/>
        </w:tcPr>
        <w:p w:rsidR="00000000" w:rsidDel="00000000" w:rsidP="00000000" w:rsidRDefault="00000000" w:rsidRPr="00000000" w14:paraId="00000153">
          <w:pPr>
            <w:widowControl w:val="0"/>
            <w:spacing w:line="240" w:lineRule="auto"/>
            <w:jc w:val="right"/>
            <w:rPr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SECRETARIA MUNICIPAL DE SAÚDE</w:t>
          </w:r>
        </w:p>
        <w:p w:rsidR="00000000" w:rsidDel="00000000" w:rsidP="00000000" w:rsidRDefault="00000000" w:rsidRPr="00000000" w14:paraId="00000154">
          <w:pPr>
            <w:widowControl w:val="0"/>
            <w:spacing w:line="240" w:lineRule="auto"/>
            <w:jc w:val="right"/>
            <w:rPr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b w:val="1"/>
              <w:bCs w:val="1"/>
              <w:sz w:val="16"/>
              <w:szCs w:val="16"/>
              <w:rtl w:val="0"/>
            </w:rPr>
            <w:t xml:space="preserve">SUBSECRETARIA DE ATENÇÃO À SAÚDE</w:t>
          </w:r>
        </w:p>
      </w:tc>
    </w:tr>
  </w:tbl>
  <w:p w:rsidR="00000000" w:rsidDel="00000000" w:rsidP="00000000" w:rsidRDefault="00000000" w:rsidRPr="00000000" w14:paraId="00000155">
    <w:pPr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2f8fc" w:val="clear"/>
    </w:tc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jpg"/><Relationship Id="rId10" Type="http://schemas.openxmlformats.org/officeDocument/2006/relationships/image" Target="media/image2.jpg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15" Type="http://schemas.openxmlformats.org/officeDocument/2006/relationships/footer" Target="foot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bp.com.br/fileadmin/user_upload/21635c-MO_-_Hipertensao_Arterial_Infanc_e_Adolesc.pdf" TargetMode="External"/><Relationship Id="rId8" Type="http://schemas.openxmlformats.org/officeDocument/2006/relationships/image" Target="media/image4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Rq1Quy6O9hir7yrrZJy7lxjX/w==">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